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before="0" w:after="0"/>
        <w:ind w:hanging="0" w:left="0" w:right="0"/>
        <w:jc w:val="center"/>
        <w:rPr/>
      </w:pPr>
      <w:r>
        <w:drawing>
          <wp:anchor distT="0" distB="0" distL="0" distR="0" simplePos="0" relativeHeight="2" behindDoc="0" locked="0" layoutInCell="0" allowOverlap="1">
            <wp:simplePos x="0" y="0"/>
            <wp:positionH relativeFrom="column">
              <wp:posOffset>-715010</wp:posOffset>
            </wp:positionH>
            <wp:positionV relativeFrom="paragraph">
              <wp:posOffset>-590550</wp:posOffset>
            </wp:positionV>
            <wp:extent cx="7519035" cy="183515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7519035" cy="1835150"/>
                    </a:xfrm>
                    <a:prstGeom prst="rect">
                      <a:avLst/>
                    </a:prstGeom>
                    <a:noFill/>
                  </pic:spPr>
                </pic:pic>
              </a:graphicData>
            </a:graphic>
          </wp:anchor>
        </w:drawing>
      </w:r>
      <w:r>
        <w:rPr>
          <w:rStyle w:val="Strong"/>
          <w:rFonts w:ascii="Times New Roman" w:hAnsi="Times New Roman"/>
          <w:sz w:val="26"/>
          <w:szCs w:val="26"/>
        </w:rPr>
        <w:t xml:space="preserve">          </w:t>
      </w:r>
    </w:p>
    <w:p>
      <w:pPr>
        <w:pStyle w:val="BodyText"/>
        <w:bidi w:val="0"/>
        <w:spacing w:before="0" w:after="0"/>
        <w:ind w:hanging="0" w:left="0" w:right="0"/>
        <w:jc w:val="right"/>
        <w:rPr/>
      </w:pPr>
      <w:r>
        <w:rPr>
          <w:rStyle w:val="Strong"/>
          <w:rFonts w:ascii="Times New Roman" w:hAnsi="Times New Roman"/>
          <w:sz w:val="26"/>
          <w:szCs w:val="26"/>
          <w:u w:val="double"/>
        </w:rPr>
        <w:t>Dated : 15-06-1026</w:t>
      </w:r>
    </w:p>
    <w:p>
      <w:pPr>
        <w:pStyle w:val="BodyText"/>
        <w:bidi w:val="0"/>
        <w:spacing w:before="0" w:after="0"/>
        <w:ind w:hanging="0" w:left="0" w:right="0"/>
        <w:jc w:val="center"/>
        <w:rPr>
          <w:rStyle w:val="Strong"/>
          <w:rFonts w:ascii="Times New Roman" w:hAnsi="Times New Roman"/>
          <w:sz w:val="28"/>
          <w:szCs w:val="28"/>
          <w:u w:val="single"/>
        </w:rPr>
      </w:pPr>
      <w:r>
        <w:rPr/>
      </w:r>
    </w:p>
    <w:p>
      <w:pPr>
        <w:pStyle w:val="BodyText"/>
        <w:bidi w:val="0"/>
        <w:ind w:hanging="0" w:left="0" w:right="0"/>
        <w:jc w:val="left"/>
        <w:rPr>
          <w:rStyle w:val="Strong"/>
          <w:rFonts w:ascii="Times New Roman" w:hAnsi="Times New Roman"/>
          <w:sz w:val="26"/>
          <w:szCs w:val="26"/>
        </w:rPr>
      </w:pPr>
      <w:r>
        <w:rPr/>
      </w:r>
    </w:p>
    <w:p>
      <w:pPr>
        <w:pStyle w:val="BodyText"/>
        <w:bidi w:val="0"/>
        <w:ind w:hanging="0" w:left="0" w:right="0"/>
        <w:jc w:val="left"/>
        <w:rPr/>
      </w:pPr>
      <w:r>
        <w:rPr>
          <w:rStyle w:val="Strong"/>
          <w:rFonts w:ascii="Times New Roman" w:hAnsi="Times New Roman"/>
          <w:sz w:val="26"/>
          <w:szCs w:val="26"/>
        </w:rPr>
        <w:t>To</w:t>
      </w:r>
    </w:p>
    <w:p>
      <w:pPr>
        <w:pStyle w:val="BodyText"/>
        <w:bidi w:val="0"/>
        <w:ind w:hanging="0" w:left="709" w:right="0"/>
        <w:jc w:val="left"/>
        <w:rPr>
          <w:rFonts w:ascii="Times New Roman" w:hAnsi="Times New Roman"/>
          <w:sz w:val="26"/>
          <w:szCs w:val="26"/>
        </w:rPr>
      </w:pPr>
      <w:r>
        <w:rPr>
          <w:rFonts w:ascii="Times New Roman" w:hAnsi="Times New Roman"/>
          <w:sz w:val="26"/>
          <w:szCs w:val="26"/>
        </w:rPr>
        <w:t>The Secretary,</w:t>
        <w:br/>
        <w:t>Haryana Electricity Regulatory Commission (HERC),</w:t>
        <w:br/>
        <w:t>Bays No. 33-36, Sector-4, Panchkula – 134112</w:t>
        <w:br/>
        <w:t xml:space="preserve">Email: </w:t>
      </w:r>
      <w:hyperlink r:id="rId3" w:tgtFrame="_blank">
        <w:r>
          <w:rPr>
            <w:rStyle w:val="Hyperlink"/>
            <w:rFonts w:ascii="Times New Roman" w:hAnsi="Times New Roman"/>
            <w:sz w:val="26"/>
            <w:szCs w:val="26"/>
          </w:rPr>
          <w:t>secretary.herc@nic.in</w:t>
        </w:r>
      </w:hyperlink>
      <w:r>
        <w:rPr>
          <w:rFonts w:ascii="Times New Roman" w:hAnsi="Times New Roman"/>
          <w:sz w:val="26"/>
          <w:szCs w:val="26"/>
        </w:rPr>
        <w:t xml:space="preserve"> / </w:t>
      </w:r>
      <w:hyperlink r:id="rId4" w:tgtFrame="_blank">
        <w:r>
          <w:rPr>
            <w:rStyle w:val="Hyperlink"/>
            <w:rFonts w:ascii="Times New Roman" w:hAnsi="Times New Roman"/>
            <w:sz w:val="26"/>
            <w:szCs w:val="26"/>
          </w:rPr>
          <w:t>dir-trf.herc@nic.in</w:t>
        </w:r>
      </w:hyperlink>
    </w:p>
    <w:p>
      <w:pPr>
        <w:pStyle w:val="BodyText"/>
        <w:bidi w:val="0"/>
        <w:ind w:hanging="0" w:left="0" w:right="0"/>
        <w:jc w:val="left"/>
        <w:rPr/>
      </w:pPr>
      <w:r>
        <w:rPr>
          <w:rStyle w:val="Strong"/>
          <w:rFonts w:ascii="Times New Roman" w:hAnsi="Times New Roman"/>
          <w:sz w:val="26"/>
          <w:szCs w:val="26"/>
        </w:rPr>
        <w:t>CC:</w:t>
      </w:r>
    </w:p>
    <w:p>
      <w:pPr>
        <w:pStyle w:val="BodyText"/>
        <w:numPr>
          <w:ilvl w:val="0"/>
          <w:numId w:val="1"/>
        </w:numPr>
        <w:tabs>
          <w:tab w:val="clear" w:pos="709"/>
          <w:tab w:val="left" w:pos="709" w:leader="none"/>
        </w:tabs>
        <w:bidi w:val="0"/>
        <w:spacing w:before="0" w:after="0"/>
        <w:ind w:hanging="283" w:left="709"/>
        <w:jc w:val="left"/>
        <w:rPr>
          <w:rFonts w:ascii="Times New Roman" w:hAnsi="Times New Roman"/>
          <w:sz w:val="26"/>
          <w:szCs w:val="26"/>
        </w:rPr>
      </w:pPr>
      <w:r>
        <w:rPr>
          <w:rFonts w:ascii="Times New Roman" w:hAnsi="Times New Roman"/>
          <w:sz w:val="26"/>
          <w:szCs w:val="26"/>
        </w:rPr>
        <w:t xml:space="preserve">Managing Director, Eleven Power Private Limited </w:t>
      </w:r>
    </w:p>
    <w:p>
      <w:pPr>
        <w:pStyle w:val="BodyText"/>
        <w:numPr>
          <w:ilvl w:val="0"/>
          <w:numId w:val="1"/>
        </w:numPr>
        <w:tabs>
          <w:tab w:val="clear" w:pos="709"/>
          <w:tab w:val="left" w:pos="709" w:leader="none"/>
        </w:tabs>
        <w:bidi w:val="0"/>
        <w:spacing w:before="0" w:after="0"/>
        <w:ind w:hanging="283" w:left="709"/>
        <w:jc w:val="left"/>
        <w:rPr>
          <w:rFonts w:ascii="Times New Roman" w:hAnsi="Times New Roman"/>
          <w:sz w:val="26"/>
          <w:szCs w:val="26"/>
        </w:rPr>
      </w:pPr>
      <w:r>
        <w:rPr>
          <w:rFonts w:ascii="Times New Roman" w:hAnsi="Times New Roman"/>
          <w:sz w:val="26"/>
          <w:szCs w:val="26"/>
        </w:rPr>
        <w:t xml:space="preserve">Managing Director, Dakshin Haryana Bijli Vitran Nigam Limited (DHBVNL) </w:t>
      </w:r>
    </w:p>
    <w:p>
      <w:pPr>
        <w:pStyle w:val="BodyText"/>
        <w:numPr>
          <w:ilvl w:val="0"/>
          <w:numId w:val="1"/>
        </w:numPr>
        <w:tabs>
          <w:tab w:val="clear" w:pos="709"/>
          <w:tab w:val="left" w:pos="709" w:leader="none"/>
        </w:tabs>
        <w:bidi w:val="0"/>
        <w:ind w:hanging="283" w:left="709"/>
        <w:jc w:val="left"/>
        <w:rPr>
          <w:rFonts w:ascii="Times New Roman" w:hAnsi="Times New Roman"/>
          <w:sz w:val="26"/>
          <w:szCs w:val="26"/>
        </w:rPr>
      </w:pPr>
      <w:r>
        <w:rPr>
          <w:rFonts w:ascii="Times New Roman" w:hAnsi="Times New Roman"/>
          <w:sz w:val="26"/>
          <w:szCs w:val="26"/>
        </w:rPr>
        <w:t xml:space="preserve">Managing Director, Haryana Vidyut Prasaran Nigam Limited (HVPNL) / Haryana Power Purchase Centre (HPPC) </w:t>
      </w:r>
    </w:p>
    <w:p>
      <w:pPr>
        <w:pStyle w:val="BodyText"/>
        <w:bidi w:val="0"/>
        <w:ind w:hanging="0" w:left="0" w:right="0"/>
        <w:jc w:val="left"/>
        <w:rPr>
          <w:rFonts w:ascii="Times New Roman" w:hAnsi="Times New Roman"/>
          <w:sz w:val="26"/>
          <w:szCs w:val="26"/>
        </w:rPr>
      </w:pPr>
      <w:r>
        <w:rPr>
          <w:rStyle w:val="Strong"/>
          <w:rFonts w:ascii="Times New Roman" w:hAnsi="Times New Roman"/>
          <w:sz w:val="26"/>
          <w:szCs w:val="26"/>
        </w:rPr>
        <w:t>Respected Sir,</w:t>
      </w:r>
    </w:p>
    <w:p>
      <w:pPr>
        <w:pStyle w:val="BodyText"/>
        <w:bidi w:val="0"/>
        <w:ind w:hanging="0" w:left="709" w:right="0"/>
        <w:jc w:val="left"/>
        <w:rPr/>
      </w:pPr>
      <w:r>
        <w:rPr>
          <w:rStyle w:val="Strong"/>
          <w:rFonts w:ascii="Times New Roman" w:hAnsi="Times New Roman"/>
          <w:sz w:val="26"/>
          <w:szCs w:val="26"/>
        </w:rPr>
        <w:t xml:space="preserve">Subject: </w:t>
      </w:r>
      <w:r>
        <w:rPr>
          <w:rStyle w:val="Strong"/>
          <w:rFonts w:ascii="Times New Roman" w:hAnsi="Times New Roman"/>
          <w:b w:val="false"/>
          <w:bCs w:val="false"/>
          <w:sz w:val="26"/>
          <w:szCs w:val="26"/>
        </w:rPr>
        <w:t>Objections to the Petition filed by Eleven Power Private Limited for grant of Distribution License for Nuh and Gurugram Revenue Districts (HERC/Petition No. 30 of 2026) – Public Notice under Section 15(5)(a) of the Electricity Act, 2003</w:t>
      </w:r>
    </w:p>
    <w:p>
      <w:pPr>
        <w:pStyle w:val="BodyText"/>
        <w:bidi w:val="0"/>
        <w:ind w:hanging="0" w:left="0" w:right="0"/>
        <w:jc w:val="left"/>
        <w:rPr/>
      </w:pPr>
      <w:r>
        <w:rPr>
          <w:rFonts w:ascii="Times New Roman" w:hAnsi="Times New Roman"/>
          <w:sz w:val="26"/>
          <w:szCs w:val="26"/>
        </w:rPr>
        <w:t xml:space="preserve">The </w:t>
      </w:r>
      <w:r>
        <w:rPr>
          <w:rStyle w:val="Strong"/>
          <w:rFonts w:ascii="Times New Roman" w:hAnsi="Times New Roman"/>
          <w:sz w:val="26"/>
          <w:szCs w:val="26"/>
        </w:rPr>
        <w:t>Electricity Employees Federation of India (EEFI)</w:t>
      </w:r>
      <w:r>
        <w:rPr>
          <w:rFonts w:ascii="Times New Roman" w:hAnsi="Times New Roman"/>
          <w:sz w:val="26"/>
          <w:szCs w:val="26"/>
        </w:rPr>
        <w:t>, a</w:t>
      </w:r>
      <w:r>
        <w:rPr>
          <w:rFonts w:ascii="Times New Roman" w:hAnsi="Times New Roman"/>
          <w:sz w:val="26"/>
          <w:szCs w:val="26"/>
        </w:rPr>
        <w:t xml:space="preserve">n apex Federation of Trade Unions and Employees Associations working in </w:t>
      </w:r>
      <w:r>
        <w:rPr>
          <w:rFonts w:ascii="Times New Roman" w:hAnsi="Times New Roman"/>
          <w:sz w:val="26"/>
          <w:szCs w:val="26"/>
        </w:rPr>
        <w:t xml:space="preserve">electricity </w:t>
      </w:r>
      <w:r>
        <w:rPr>
          <w:rFonts w:ascii="Times New Roman" w:hAnsi="Times New Roman"/>
          <w:sz w:val="26"/>
          <w:szCs w:val="26"/>
        </w:rPr>
        <w:t>sector</w:t>
      </w:r>
      <w:r>
        <w:rPr>
          <w:rFonts w:ascii="Times New Roman" w:hAnsi="Times New Roman"/>
          <w:sz w:val="26"/>
          <w:szCs w:val="26"/>
        </w:rPr>
        <w:t xml:space="preserve"> across the country, including in Haryana, hereby submits its strong objections to the above petition seeking a parallel distribution license for the revenue districts of Nuh and Gurugram in the State of Haryana.</w:t>
      </w:r>
    </w:p>
    <w:p>
      <w:pPr>
        <w:pStyle w:val="Heading3"/>
        <w:bidi w:val="0"/>
        <w:spacing w:lineRule="auto" w:line="276" w:before="0" w:after="140"/>
        <w:jc w:val="left"/>
        <w:rPr>
          <w:rFonts w:ascii="Times New Roman" w:hAnsi="Times New Roman"/>
          <w:sz w:val="26"/>
          <w:szCs w:val="26"/>
        </w:rPr>
      </w:pPr>
      <w:r>
        <w:rPr>
          <w:rFonts w:ascii="Times New Roman" w:hAnsi="Times New Roman"/>
          <w:sz w:val="26"/>
          <w:szCs w:val="26"/>
        </w:rPr>
        <w:t>Preliminary Objections</w:t>
      </w:r>
    </w:p>
    <w:p>
      <w:pPr>
        <w:pStyle w:val="BodyText"/>
        <w:numPr>
          <w:ilvl w:val="0"/>
          <w:numId w:val="2"/>
        </w:numPr>
        <w:tabs>
          <w:tab w:val="clear" w:pos="709"/>
          <w:tab w:val="left" w:pos="709" w:leader="none"/>
        </w:tabs>
        <w:bidi w:val="0"/>
        <w:spacing w:before="0" w:after="0"/>
        <w:ind w:hanging="283" w:left="709"/>
        <w:jc w:val="left"/>
        <w:rPr/>
      </w:pPr>
      <w:r>
        <w:rPr>
          <w:rStyle w:val="Strong"/>
          <w:rFonts w:ascii="Times New Roman" w:hAnsi="Times New Roman"/>
          <w:sz w:val="26"/>
          <w:szCs w:val="26"/>
        </w:rPr>
        <w:t>Against the Policy of Parallel Licensing and Fragmentation of Distribution</w:t>
      </w:r>
      <w:r>
        <w:rPr>
          <w:rFonts w:ascii="Times New Roman" w:hAnsi="Times New Roman"/>
          <w:sz w:val="26"/>
          <w:szCs w:val="26"/>
        </w:rPr>
        <w:t xml:space="preserve">: Granting a parallel distribution license in the same area of supply goes against the spirit of integrated power sector planning envisaged under the Electricity Act, 2003. It will lead to </w:t>
      </w:r>
      <w:r>
        <w:rPr>
          <w:rStyle w:val="Strong"/>
          <w:rFonts w:ascii="Times New Roman" w:hAnsi="Times New Roman"/>
          <w:sz w:val="26"/>
          <w:szCs w:val="26"/>
        </w:rPr>
        <w:t>cherry-picking</w:t>
      </w:r>
      <w:r>
        <w:rPr>
          <w:rFonts w:ascii="Times New Roman" w:hAnsi="Times New Roman"/>
          <w:sz w:val="26"/>
          <w:szCs w:val="26"/>
        </w:rPr>
        <w:t xml:space="preserve"> of profitable high-tension (HT) and high-consuming commercial/industrial consumers by the private entity, leaving the incumbent public sector DISCOM (DHBVNL) with low-paying domestic, agricultural, and subsidized consumers. This will adversely impact cross-subsidy mechanisms, increase the burden on the state exchequer, and weaken the financial health of the public utility. </w:t>
      </w:r>
    </w:p>
    <w:p>
      <w:pPr>
        <w:pStyle w:val="BodyText"/>
        <w:numPr>
          <w:ilvl w:val="0"/>
          <w:numId w:val="2"/>
        </w:numPr>
        <w:tabs>
          <w:tab w:val="clear" w:pos="709"/>
          <w:tab w:val="left" w:pos="709" w:leader="none"/>
        </w:tabs>
        <w:bidi w:val="0"/>
        <w:spacing w:before="0" w:after="0"/>
        <w:ind w:hanging="283" w:left="709"/>
        <w:jc w:val="left"/>
        <w:rPr/>
      </w:pPr>
      <w:r>
        <w:rPr>
          <w:rStyle w:val="Strong"/>
          <w:rFonts w:ascii="Times New Roman" w:hAnsi="Times New Roman"/>
          <w:sz w:val="26"/>
          <w:szCs w:val="26"/>
        </w:rPr>
        <w:t>Financial and Operational Capability of the Petitioner</w:t>
      </w:r>
      <w:r>
        <w:rPr>
          <w:rFonts w:ascii="Times New Roman" w:hAnsi="Times New Roman"/>
          <w:sz w:val="26"/>
          <w:szCs w:val="26"/>
        </w:rPr>
        <w:t xml:space="preserve">: Eleven Power Private Limited, incorporated only in June 2025 with a paid-up share capital of just ₹1 crore (authorised capital ₹100 crore), has proposed a massive capital expenditure of ₹4,716.73 crore (₹1,415.02 crore equity + ₹3,301.71 crore debt). In its interim order dated </w:t>
      </w:r>
      <w:r>
        <w:rPr>
          <w:rStyle w:val="Strong"/>
          <w:rFonts w:ascii="Times New Roman" w:hAnsi="Times New Roman"/>
          <w:sz w:val="26"/>
          <w:szCs w:val="26"/>
        </w:rPr>
        <w:t>26 May 2026</w:t>
      </w:r>
      <w:r>
        <w:rPr>
          <w:rFonts w:ascii="Times New Roman" w:hAnsi="Times New Roman"/>
          <w:sz w:val="26"/>
          <w:szCs w:val="26"/>
        </w:rPr>
        <w:t xml:space="preserve"> in HERC/Petition No. 30 of 2026, the Hon’ble Commission itself has flagged serious concerns regarding the petitioner’s financial viability, operational preparedness, and ability to make the proposed investment. The Commission directed the petitioner to justify the market valuation of its holding company (M/s SAS Fininvest LLP) vis-à-vis book value and clarify inconsistencies in net worth disclosures. </w:t>
      </w:r>
    </w:p>
    <w:p>
      <w:pPr>
        <w:pStyle w:val="BodyText"/>
        <w:numPr>
          <w:ilvl w:val="0"/>
          <w:numId w:val="2"/>
        </w:numPr>
        <w:tabs>
          <w:tab w:val="clear" w:pos="709"/>
          <w:tab w:val="left" w:pos="709" w:leader="none"/>
        </w:tabs>
        <w:bidi w:val="0"/>
        <w:spacing w:before="0" w:after="0"/>
        <w:ind w:hanging="283" w:left="709"/>
        <w:jc w:val="left"/>
        <w:rPr/>
      </w:pPr>
      <w:r>
        <w:rPr>
          <w:rStyle w:val="Strong"/>
          <w:rFonts w:ascii="Times New Roman" w:hAnsi="Times New Roman"/>
          <w:sz w:val="26"/>
          <w:szCs w:val="26"/>
        </w:rPr>
        <w:t>Threat to Employment and Service Conditions</w:t>
      </w:r>
      <w:r>
        <w:rPr>
          <w:rFonts w:ascii="Times New Roman" w:hAnsi="Times New Roman"/>
          <w:sz w:val="26"/>
          <w:szCs w:val="26"/>
        </w:rPr>
        <w:t xml:space="preserve">: The entry of a private player will inevitably lead to demands for outsourcing, contractualization, and potential VRS/retrenchment pressures on existing employees of DHBVNL/HVPNL. EEFI strongly opposes any move that jeopardizes the job security and hard-earned service conditions of electricity workers who have been serving the people of Haryana for decades. </w:t>
      </w:r>
    </w:p>
    <w:p>
      <w:pPr>
        <w:pStyle w:val="BodyText"/>
        <w:numPr>
          <w:ilvl w:val="0"/>
          <w:numId w:val="2"/>
        </w:numPr>
        <w:tabs>
          <w:tab w:val="clear" w:pos="709"/>
          <w:tab w:val="left" w:pos="709" w:leader="none"/>
        </w:tabs>
        <w:bidi w:val="0"/>
        <w:spacing w:before="0" w:after="0"/>
        <w:ind w:hanging="283" w:left="709"/>
        <w:jc w:val="left"/>
        <w:rPr/>
      </w:pPr>
      <w:r>
        <w:rPr>
          <w:rStyle w:val="Strong"/>
          <w:rFonts w:ascii="Times New Roman" w:hAnsi="Times New Roman"/>
          <w:sz w:val="26"/>
          <w:szCs w:val="26"/>
        </w:rPr>
        <w:t>Risk of Cherry-Picking and Adverse Impact on Cross-Subsidy</w:t>
      </w:r>
      <w:r>
        <w:rPr>
          <w:rFonts w:ascii="Times New Roman" w:hAnsi="Times New Roman"/>
          <w:sz w:val="26"/>
          <w:szCs w:val="26"/>
        </w:rPr>
        <w:t xml:space="preserve">: The Hon’ble HERC has explicitly flagged the high risk of cherry-picking of profitable consumers. In its interim order dated 26 May 2026 and related proceedings, the Commission directed the petitioner to submit “a detailed implementation plan to demonstrate that the phased development, operation and maintenance of the distribution network over a period of five years will not result in ‘cherry-picking’ of consumers or geographical areas and shall ensure equitable and non-discriminatory access to electricity supply throughout the proposed area of supply.” The Commission also noted that industrial and urban consumers subsidise supply to agricultural and rural users and sought clarification on preventing cherry-picking. </w:t>
      </w:r>
    </w:p>
    <w:p>
      <w:pPr>
        <w:pStyle w:val="BodyText"/>
        <w:numPr>
          <w:ilvl w:val="0"/>
          <w:numId w:val="2"/>
        </w:numPr>
        <w:tabs>
          <w:tab w:val="clear" w:pos="709"/>
          <w:tab w:val="left" w:pos="709" w:leader="none"/>
        </w:tabs>
        <w:bidi w:val="0"/>
        <w:spacing w:before="0" w:after="0"/>
        <w:ind w:hanging="283" w:left="709"/>
        <w:jc w:val="left"/>
        <w:rPr/>
      </w:pPr>
      <w:r>
        <w:rPr>
          <w:rStyle w:val="Strong"/>
          <w:rFonts w:ascii="Times New Roman" w:hAnsi="Times New Roman"/>
          <w:sz w:val="26"/>
          <w:szCs w:val="26"/>
        </w:rPr>
        <w:t>Unnecessary Privatization When DHBVNL is Performing Well</w:t>
      </w:r>
      <w:r>
        <w:rPr>
          <w:rFonts w:ascii="Times New Roman" w:hAnsi="Times New Roman"/>
          <w:sz w:val="26"/>
          <w:szCs w:val="26"/>
        </w:rPr>
        <w:t xml:space="preserve">: DHBVNL has shown consistent improvement in operational efficiency, with AT&amp;C losses reduced to around </w:t>
      </w:r>
      <w:r>
        <w:rPr>
          <w:rStyle w:val="Strong"/>
          <w:rFonts w:ascii="Times New Roman" w:hAnsi="Times New Roman"/>
          <w:sz w:val="26"/>
          <w:szCs w:val="26"/>
        </w:rPr>
        <w:t>10.26% in FY 2024-25</w:t>
      </w:r>
      <w:r>
        <w:rPr>
          <w:rFonts w:ascii="Times New Roman" w:hAnsi="Times New Roman"/>
          <w:sz w:val="26"/>
          <w:szCs w:val="26"/>
        </w:rPr>
        <w:t xml:space="preserve"> (down from 11.35% in FY 2023-24 and much higher levels earlier). Collection efficiency remains over 100%, and the utility has achieved a near-zero or positive ACS-ARR gap in recent years. Parallel licensing is unwarranted when the public utility is already on a strong reform trajectory under RDSS and other central schemes. </w:t>
      </w:r>
    </w:p>
    <w:p>
      <w:pPr>
        <w:pStyle w:val="BodyText"/>
        <w:numPr>
          <w:ilvl w:val="0"/>
          <w:numId w:val="2"/>
        </w:numPr>
        <w:tabs>
          <w:tab w:val="clear" w:pos="709"/>
          <w:tab w:val="left" w:pos="709" w:leader="none"/>
        </w:tabs>
        <w:bidi w:val="0"/>
        <w:ind w:hanging="283" w:left="709"/>
        <w:jc w:val="left"/>
        <w:rPr/>
      </w:pPr>
      <w:r>
        <w:rPr>
          <w:rStyle w:val="Strong"/>
          <w:rFonts w:ascii="Times New Roman" w:hAnsi="Times New Roman"/>
          <w:sz w:val="26"/>
          <w:szCs w:val="26"/>
        </w:rPr>
        <w:t>Inadequate Experience and Public Interest Concerns</w:t>
      </w:r>
      <w:r>
        <w:rPr>
          <w:rFonts w:ascii="Times New Roman" w:hAnsi="Times New Roman"/>
          <w:sz w:val="26"/>
          <w:szCs w:val="26"/>
        </w:rPr>
        <w:t>: A company incorporated just one year ago lacks the operational track record, technical expertise, and institutional experience required to manage a large distribution network serving diverse urban-rural consumers. Allowing such an entity risks supply reliability, safety, and consumer service standards in a critical sector.</w:t>
      </w:r>
      <w:r>
        <w:br w:type="page"/>
      </w:r>
    </w:p>
    <w:p>
      <w:pPr>
        <w:pStyle w:val="Heading3"/>
        <w:bidi w:val="0"/>
        <w:spacing w:lineRule="auto" w:line="276" w:before="0" w:after="140"/>
        <w:jc w:val="left"/>
        <w:rPr>
          <w:rFonts w:ascii="Times New Roman" w:hAnsi="Times New Roman"/>
          <w:sz w:val="26"/>
          <w:szCs w:val="26"/>
        </w:rPr>
      </w:pPr>
      <w:r>
        <w:rPr>
          <w:rFonts w:ascii="Times New Roman" w:hAnsi="Times New Roman"/>
          <w:sz w:val="26"/>
          <w:szCs w:val="26"/>
        </w:rPr>
        <w:t>Detailed Grounds of Objection</w:t>
      </w:r>
    </w:p>
    <w:p>
      <w:pPr>
        <w:pStyle w:val="BodyText"/>
        <w:numPr>
          <w:ilvl w:val="0"/>
          <w:numId w:val="3"/>
        </w:numPr>
        <w:tabs>
          <w:tab w:val="clear" w:pos="709"/>
          <w:tab w:val="left" w:pos="709" w:leader="none"/>
        </w:tabs>
        <w:bidi w:val="0"/>
        <w:ind w:hanging="283" w:left="709" w:right="0"/>
        <w:jc w:val="left"/>
        <w:rPr/>
      </w:pPr>
      <w:r>
        <w:rPr>
          <w:rStyle w:val="Strong"/>
          <w:rFonts w:ascii="Times New Roman" w:hAnsi="Times New Roman"/>
          <w:sz w:val="26"/>
          <w:szCs w:val="26"/>
        </w:rPr>
        <w:t>Adverse Impact on Cross-Subsidy and Universal Service Obligation</w:t>
      </w:r>
      <w:r>
        <w:rPr>
          <w:rFonts w:ascii="Times New Roman" w:hAnsi="Times New Roman"/>
          <w:sz w:val="26"/>
          <w:szCs w:val="26"/>
        </w:rPr>
        <w:t xml:space="preserve">: Private licensees typically focus on lucrative areas/consumers, undermining the universal service obligation of public DISCOMs. This has been observed in other states. For instance, in </w:t>
      </w:r>
      <w:r>
        <w:rPr>
          <w:rStyle w:val="Strong"/>
          <w:rFonts w:ascii="Times New Roman" w:hAnsi="Times New Roman"/>
          <w:sz w:val="26"/>
          <w:szCs w:val="26"/>
        </w:rPr>
        <w:t>Odisha</w:t>
      </w:r>
      <w:r>
        <w:rPr>
          <w:rFonts w:ascii="Times New Roman" w:hAnsi="Times New Roman"/>
          <w:sz w:val="26"/>
          <w:szCs w:val="26"/>
        </w:rPr>
        <w:t>, the first wave of privatization (1999) led to failure: private operators abandoned operations citing inability to manage losses, resulting in license revocation by OERC in 2015 for three companies (NESCO, WESCO, SOUTHCO). This increased the burden on the public sector and state exchequer, with continued high losses and neglect of rural electrification.</w:t>
      </w:r>
    </w:p>
    <w:p>
      <w:pPr>
        <w:pStyle w:val="BodyText"/>
        <w:numPr>
          <w:ilvl w:val="0"/>
          <w:numId w:val="0"/>
        </w:numPr>
        <w:bidi w:val="0"/>
        <w:ind w:hanging="0" w:left="0" w:right="0"/>
        <w:jc w:val="left"/>
        <w:rPr/>
      </w:pPr>
      <w:r>
        <w:rPr>
          <w:rFonts w:ascii="Times New Roman" w:hAnsi="Times New Roman"/>
          <w:sz w:val="26"/>
          <w:szCs w:val="26"/>
        </w:rPr>
        <w:t xml:space="preserve">Similarly, experiences in other jurisdictions show that privatization often leads to </w:t>
      </w:r>
      <w:r>
        <w:rPr>
          <w:rStyle w:val="Strong"/>
          <w:rFonts w:ascii="Times New Roman" w:hAnsi="Times New Roman"/>
          <w:sz w:val="26"/>
          <w:szCs w:val="26"/>
        </w:rPr>
        <w:t>higher tariffs for remaining consumers</w:t>
      </w:r>
      <w:r>
        <w:rPr>
          <w:rFonts w:ascii="Times New Roman" w:hAnsi="Times New Roman"/>
          <w:sz w:val="26"/>
          <w:szCs w:val="26"/>
        </w:rPr>
        <w:t xml:space="preserve"> and </w:t>
      </w:r>
      <w:r>
        <w:rPr>
          <w:rStyle w:val="Strong"/>
          <w:rFonts w:ascii="Times New Roman" w:hAnsi="Times New Roman"/>
          <w:sz w:val="26"/>
          <w:szCs w:val="26"/>
        </w:rPr>
        <w:t>increased state subsidies</w:t>
      </w:r>
      <w:r>
        <w:rPr>
          <w:rFonts w:ascii="Times New Roman" w:hAnsi="Times New Roman"/>
          <w:sz w:val="26"/>
          <w:szCs w:val="26"/>
        </w:rPr>
        <w:t>. In Odisha’s early phase, the state had to step in with additional support after private operators struggled, while cross-subsidies were distorted. Delhi’s model, though partially successful in loss reduction, has seen persistent financial concerns and reliance on government subsidies to keep consumer tariffs manageable.</w:t>
      </w:r>
    </w:p>
    <w:p>
      <w:pPr>
        <w:pStyle w:val="BodyText"/>
        <w:numPr>
          <w:ilvl w:val="0"/>
          <w:numId w:val="3"/>
        </w:numPr>
        <w:tabs>
          <w:tab w:val="clear" w:pos="709"/>
          <w:tab w:val="left" w:pos="709" w:leader="none"/>
        </w:tabs>
        <w:bidi w:val="0"/>
        <w:ind w:hanging="283" w:left="709" w:right="0"/>
        <w:jc w:val="left"/>
        <w:rPr/>
      </w:pPr>
      <w:r>
        <w:rPr>
          <w:rStyle w:val="Strong"/>
          <w:rFonts w:ascii="Times New Roman" w:hAnsi="Times New Roman"/>
          <w:sz w:val="26"/>
          <w:szCs w:val="26"/>
        </w:rPr>
        <w:t>Technical and Grid Management Challenges Leading to Chaos</w:t>
      </w:r>
      <w:r>
        <w:rPr>
          <w:rFonts w:ascii="Times New Roman" w:hAnsi="Times New Roman"/>
          <w:sz w:val="26"/>
          <w:szCs w:val="26"/>
        </w:rPr>
        <w:t xml:space="preserve">: Instead of the boasted improvements including renewable integration and technological advancements claimed by the petitioner, parallel licensing and duplicate networks in the same area will create </w:t>
      </w:r>
      <w:r>
        <w:rPr>
          <w:rStyle w:val="Strong"/>
          <w:rFonts w:ascii="Times New Roman" w:hAnsi="Times New Roman"/>
          <w:sz w:val="26"/>
          <w:szCs w:val="26"/>
        </w:rPr>
        <w:t>complete chaos and potential collapse</w:t>
      </w:r>
      <w:r>
        <w:rPr>
          <w:rFonts w:ascii="Times New Roman" w:hAnsi="Times New Roman"/>
          <w:sz w:val="26"/>
          <w:szCs w:val="26"/>
        </w:rPr>
        <w:t xml:space="preserve"> in a system that serves the public at large. It will lead to severe coordination issues in grid management, fault restoration, metering, billing, and power procurement. It will complicate open access, renewable integration, and overall system stability, resulting in duplicated infrastructure, higher technical losses, safety hazards, and unreliable supply to common consumers.</w:t>
      </w:r>
    </w:p>
    <w:p>
      <w:pPr>
        <w:pStyle w:val="BodyText"/>
        <w:numPr>
          <w:ilvl w:val="0"/>
          <w:numId w:val="3"/>
        </w:numPr>
        <w:tabs>
          <w:tab w:val="clear" w:pos="709"/>
          <w:tab w:val="left" w:pos="709" w:leader="none"/>
        </w:tabs>
        <w:bidi w:val="0"/>
        <w:ind w:hanging="283" w:left="709" w:right="0"/>
        <w:jc w:val="left"/>
        <w:rPr/>
      </w:pPr>
      <w:r>
        <w:rPr>
          <w:rStyle w:val="Strong"/>
          <w:rFonts w:ascii="Times New Roman" w:hAnsi="Times New Roman"/>
          <w:sz w:val="26"/>
          <w:szCs w:val="26"/>
        </w:rPr>
        <w:t>No Demonstrable Public Interest – Risk of Profiteering in Reverse</w:t>
      </w:r>
      <w:r>
        <w:rPr>
          <w:rFonts w:ascii="Times New Roman" w:hAnsi="Times New Roman"/>
          <w:sz w:val="26"/>
          <w:szCs w:val="26"/>
        </w:rPr>
        <w:t xml:space="preserve">: The petitioner’s claim of a “modern, technology-driven, and renewable-energy-focused” utility lacks concrete, enforceable commitments backed by performance guarantees, especially given its limited track record. In reality, private operators often work in reverse of such claims through </w:t>
      </w:r>
      <w:r>
        <w:rPr>
          <w:rStyle w:val="Strong"/>
          <w:rFonts w:ascii="Times New Roman" w:hAnsi="Times New Roman"/>
          <w:sz w:val="26"/>
          <w:szCs w:val="26"/>
        </w:rPr>
        <w:t>profiteering</w:t>
      </w:r>
      <w:r>
        <w:rPr>
          <w:rFonts w:ascii="Times New Roman" w:hAnsi="Times New Roman"/>
          <w:sz w:val="26"/>
          <w:szCs w:val="26"/>
        </w:rPr>
        <w:t>: they prioritize short-term returns by skimping on long-term investments in infrastructure maintenance, rural electrification, and genuine renewable integration; inflate costs through related-party transactions or high-interest debt; and pass on higher tariffs or reduced service quality to consumers while extracting dividends and management fees. This reverses the intended public benefit, leading to higher overall costs for the system, increased state subsidy burden, and neglect of non-remunerative segments — exactly the opposite of the “modern and consumer-friendly” narrative presented.</w:t>
      </w:r>
    </w:p>
    <w:p>
      <w:pPr>
        <w:pStyle w:val="BodyText"/>
        <w:numPr>
          <w:ilvl w:val="0"/>
          <w:numId w:val="3"/>
        </w:numPr>
        <w:tabs>
          <w:tab w:val="clear" w:pos="709"/>
          <w:tab w:val="left" w:pos="709" w:leader="none"/>
        </w:tabs>
        <w:bidi w:val="0"/>
        <w:ind w:hanging="283" w:left="709" w:right="0"/>
        <w:jc w:val="left"/>
        <w:rPr/>
      </w:pPr>
      <w:r>
        <w:rPr>
          <w:rStyle w:val="Strong"/>
          <w:rFonts w:ascii="Times New Roman" w:hAnsi="Times New Roman"/>
          <w:sz w:val="26"/>
          <w:szCs w:val="26"/>
        </w:rPr>
        <w:t>Additional Layers of Management and Overheads Due to Multiple Licensing</w:t>
      </w:r>
      <w:r>
        <w:rPr>
          <w:rFonts w:ascii="Times New Roman" w:hAnsi="Times New Roman"/>
          <w:sz w:val="26"/>
          <w:szCs w:val="26"/>
        </w:rPr>
        <w:t>: Granting parallel distribution licenses will introduce multiple layers of management, regulatory compliance, coordination mechanisms, and duplicated administrative structures across the entire system. This will significantly increase overall overhead costs (including separate billing systems, customer care centres, technical teams, legal/compliance staff, and profit margins for the private licensee), which will ultimately be passed on to consumers through higher tariffs or increased state subsidies, burdening the public at large without delivering proportional benefits in service quality or efficiency.</w:t>
      </w:r>
    </w:p>
    <w:p>
      <w:pPr>
        <w:pStyle w:val="BodyText"/>
        <w:numPr>
          <w:ilvl w:val="0"/>
          <w:numId w:val="3"/>
        </w:numPr>
        <w:tabs>
          <w:tab w:val="clear" w:pos="709"/>
          <w:tab w:val="left" w:pos="709" w:leader="none"/>
        </w:tabs>
        <w:bidi w:val="0"/>
        <w:ind w:hanging="283" w:left="709" w:right="0"/>
        <w:jc w:val="left"/>
        <w:rPr/>
      </w:pPr>
      <w:r>
        <w:rPr>
          <w:rStyle w:val="Strong"/>
          <w:rFonts w:ascii="Times New Roman" w:hAnsi="Times New Roman"/>
          <w:sz w:val="26"/>
          <w:szCs w:val="26"/>
        </w:rPr>
        <w:t>Precedent and National Policy Concerns</w:t>
      </w:r>
      <w:r>
        <w:rPr>
          <w:rFonts w:ascii="Times New Roman" w:hAnsi="Times New Roman"/>
          <w:sz w:val="26"/>
          <w:szCs w:val="26"/>
        </w:rPr>
        <w:t>: EEFI has consistently opposed privatization and parallel licensing models across the country. Failures in Odisha (1999–2015) and challenges in franchise models (where many cases ceased operations due to mismatched expectations and labour issues) demonstrate the risks. Internationally and nationally, rushed privatization without strong regulatory oversight has often led to higher costs, service inequities, and duplicated infrastructure without proportional benefits.</w:t>
      </w:r>
    </w:p>
    <w:p>
      <w:pPr>
        <w:pStyle w:val="BodyText"/>
        <w:numPr>
          <w:ilvl w:val="0"/>
          <w:numId w:val="3"/>
        </w:numPr>
        <w:tabs>
          <w:tab w:val="clear" w:pos="709"/>
          <w:tab w:val="left" w:pos="709" w:leader="none"/>
        </w:tabs>
        <w:bidi w:val="0"/>
        <w:ind w:hanging="283" w:left="709" w:right="0"/>
        <w:jc w:val="left"/>
        <w:rPr/>
      </w:pPr>
      <w:r>
        <w:rPr>
          <w:rStyle w:val="Strong"/>
          <w:rFonts w:ascii="Times New Roman" w:hAnsi="Times New Roman"/>
          <w:sz w:val="26"/>
          <w:szCs w:val="26"/>
        </w:rPr>
        <w:t>Consumer Interests Not Protected</w:t>
      </w:r>
      <w:r>
        <w:rPr>
          <w:rFonts w:ascii="Times New Roman" w:hAnsi="Times New Roman"/>
          <w:sz w:val="26"/>
          <w:szCs w:val="26"/>
        </w:rPr>
        <w:t>: There is no clarity on how the private licensee will handle existing consumers, tariff determination, grievance redressal, or continuation of subsidies. Experience shows that private entry often leads to higher effective tariffs and reduced service quality in non-lucrative segments.</w:t>
      </w:r>
    </w:p>
    <w:p>
      <w:pPr>
        <w:pStyle w:val="Heading3"/>
        <w:bidi w:val="0"/>
        <w:spacing w:lineRule="auto" w:line="276" w:before="0" w:after="140"/>
        <w:jc w:val="left"/>
        <w:rPr>
          <w:rFonts w:ascii="Times New Roman" w:hAnsi="Times New Roman"/>
          <w:sz w:val="26"/>
          <w:szCs w:val="26"/>
        </w:rPr>
      </w:pPr>
      <w:r>
        <w:rPr>
          <w:rFonts w:ascii="Times New Roman" w:hAnsi="Times New Roman"/>
          <w:sz w:val="26"/>
          <w:szCs w:val="26"/>
        </w:rPr>
        <w:t>Prayer</w:t>
      </w:r>
    </w:p>
    <w:p>
      <w:pPr>
        <w:pStyle w:val="BodyText"/>
        <w:bidi w:val="0"/>
        <w:ind w:hanging="0" w:left="0" w:right="0"/>
        <w:jc w:val="left"/>
        <w:rPr>
          <w:rFonts w:ascii="Times New Roman" w:hAnsi="Times New Roman"/>
          <w:sz w:val="26"/>
          <w:szCs w:val="26"/>
        </w:rPr>
      </w:pPr>
      <w:r>
        <w:rPr>
          <w:rFonts w:ascii="Times New Roman" w:hAnsi="Times New Roman"/>
          <w:sz w:val="26"/>
          <w:szCs w:val="26"/>
        </w:rPr>
        <w:t>In view of the above, EEFI most respectfully prays that the Hon’ble Commission:</w:t>
      </w:r>
    </w:p>
    <w:p>
      <w:pPr>
        <w:pStyle w:val="BodyText"/>
        <w:numPr>
          <w:ilvl w:val="0"/>
          <w:numId w:val="4"/>
        </w:numPr>
        <w:tabs>
          <w:tab w:val="clear" w:pos="709"/>
          <w:tab w:val="left" w:pos="709" w:leader="none"/>
        </w:tabs>
        <w:bidi w:val="0"/>
        <w:spacing w:before="0" w:after="0"/>
        <w:ind w:hanging="283" w:left="709"/>
        <w:jc w:val="left"/>
        <w:rPr/>
      </w:pPr>
      <w:r>
        <w:rPr>
          <w:rStyle w:val="Strong"/>
          <w:rFonts w:ascii="Times New Roman" w:hAnsi="Times New Roman"/>
          <w:sz w:val="26"/>
          <w:szCs w:val="26"/>
        </w:rPr>
        <w:t>Reject outright</w:t>
      </w:r>
      <w:r>
        <w:rPr>
          <w:rFonts w:ascii="Times New Roman" w:hAnsi="Times New Roman"/>
          <w:sz w:val="26"/>
          <w:szCs w:val="26"/>
        </w:rPr>
        <w:t xml:space="preserve"> the petition of Eleven Power Private Limited for grant of distribution license. </w:t>
      </w:r>
    </w:p>
    <w:p>
      <w:pPr>
        <w:pStyle w:val="BodyText"/>
        <w:numPr>
          <w:ilvl w:val="0"/>
          <w:numId w:val="4"/>
        </w:numPr>
        <w:tabs>
          <w:tab w:val="clear" w:pos="709"/>
          <w:tab w:val="left" w:pos="709" w:leader="none"/>
        </w:tabs>
        <w:bidi w:val="0"/>
        <w:spacing w:before="0" w:after="0"/>
        <w:ind w:hanging="283" w:left="709"/>
        <w:jc w:val="left"/>
        <w:rPr>
          <w:rFonts w:ascii="Times New Roman" w:hAnsi="Times New Roman"/>
          <w:sz w:val="26"/>
          <w:szCs w:val="26"/>
        </w:rPr>
      </w:pPr>
      <w:r>
        <w:rPr>
          <w:rFonts w:ascii="Times New Roman" w:hAnsi="Times New Roman"/>
          <w:sz w:val="26"/>
          <w:szCs w:val="26"/>
        </w:rPr>
        <w:t xml:space="preserve">Direct DHBVNL to continue as the sole distribution licensee in the area and strengthen its operations through public investment, modernization, and employee participation. </w:t>
      </w:r>
    </w:p>
    <w:p>
      <w:pPr>
        <w:pStyle w:val="BodyText"/>
        <w:numPr>
          <w:ilvl w:val="0"/>
          <w:numId w:val="4"/>
        </w:numPr>
        <w:tabs>
          <w:tab w:val="clear" w:pos="709"/>
          <w:tab w:val="left" w:pos="709" w:leader="none"/>
        </w:tabs>
        <w:bidi w:val="0"/>
        <w:spacing w:before="0" w:after="0"/>
        <w:ind w:hanging="283" w:left="709"/>
        <w:jc w:val="left"/>
        <w:rPr>
          <w:rFonts w:ascii="Times New Roman" w:hAnsi="Times New Roman"/>
          <w:sz w:val="26"/>
          <w:szCs w:val="26"/>
        </w:rPr>
      </w:pPr>
      <w:r>
        <w:rPr>
          <w:rFonts w:ascii="Times New Roman" w:hAnsi="Times New Roman"/>
          <w:sz w:val="26"/>
          <w:szCs w:val="26"/>
        </w:rPr>
        <w:t xml:space="preserve">Hold wide public consultations and stakeholder hearings, including with employee organizations, before considering any such radical structural changes. </w:t>
      </w:r>
    </w:p>
    <w:p>
      <w:pPr>
        <w:pStyle w:val="BodyText"/>
        <w:numPr>
          <w:ilvl w:val="0"/>
          <w:numId w:val="4"/>
        </w:numPr>
        <w:tabs>
          <w:tab w:val="clear" w:pos="709"/>
          <w:tab w:val="left" w:pos="709" w:leader="none"/>
        </w:tabs>
        <w:bidi w:val="0"/>
        <w:ind w:hanging="283" w:left="709"/>
        <w:jc w:val="left"/>
        <w:rPr>
          <w:rFonts w:ascii="Times New Roman" w:hAnsi="Times New Roman"/>
          <w:sz w:val="26"/>
          <w:szCs w:val="26"/>
        </w:rPr>
      </w:pPr>
      <w:r>
        <w:rPr>
          <w:rFonts w:ascii="Times New Roman" w:hAnsi="Times New Roman"/>
          <w:sz w:val="26"/>
          <w:szCs w:val="26"/>
        </w:rPr>
        <w:t xml:space="preserve">Ensure that any future policy on distribution reforms prioritizes public sector strengthening, job security, and protection of consumer interests over private profiteering. </w:t>
      </w:r>
    </w:p>
    <w:p>
      <w:pPr>
        <w:pStyle w:val="BodyText"/>
        <w:bidi w:val="0"/>
        <w:ind w:hanging="0" w:left="0" w:right="0"/>
        <w:jc w:val="left"/>
        <w:rPr/>
      </w:pPr>
      <w:r>
        <w:rPr>
          <w:rFonts w:ascii="Times New Roman" w:hAnsi="Times New Roman"/>
          <w:sz w:val="26"/>
          <w:szCs w:val="26"/>
        </w:rPr>
        <w:t xml:space="preserve">EEFI reserves its right to make further submissions during the public hearing scheduled for </w:t>
      </w:r>
      <w:r>
        <w:rPr>
          <w:rStyle w:val="Strong"/>
          <w:rFonts w:ascii="Times New Roman" w:hAnsi="Times New Roman"/>
          <w:sz w:val="26"/>
          <w:szCs w:val="26"/>
        </w:rPr>
        <w:t>08.07.2026</w:t>
      </w:r>
      <w:r>
        <w:rPr>
          <w:rFonts w:ascii="Times New Roman" w:hAnsi="Times New Roman"/>
          <w:sz w:val="26"/>
          <w:szCs w:val="26"/>
        </w:rPr>
        <w:t xml:space="preserve"> and to participate through its representatives.</w:t>
      </w:r>
    </w:p>
    <w:p>
      <w:pPr>
        <w:pStyle w:val="BodyText"/>
        <w:bidi w:val="0"/>
        <w:ind w:hanging="0" w:left="0" w:right="0"/>
        <w:jc w:val="left"/>
        <w:rPr>
          <w:rFonts w:ascii="Times New Roman" w:hAnsi="Times New Roman"/>
          <w:sz w:val="26"/>
          <w:szCs w:val="26"/>
        </w:rPr>
      </w:pPr>
      <w:r>
        <w:rPr>
          <w:rFonts w:ascii="Times New Roman" w:hAnsi="Times New Roman"/>
          <w:sz w:val="26"/>
          <w:szCs w:val="26"/>
        </w:rPr>
        <w:t>We request that this objection be placed on record and considered before taking any decision on the petition.</w:t>
      </w:r>
    </w:p>
    <w:p>
      <w:pPr>
        <w:pStyle w:val="BodyText"/>
        <w:bidi w:val="0"/>
        <w:ind w:hanging="0" w:left="0" w:right="0"/>
        <w:jc w:val="center"/>
        <w:rPr/>
      </w:pPr>
      <w:r>
        <w:rPr>
          <w:rStyle w:val="Strong"/>
          <w:rFonts w:ascii="Times New Roman" w:hAnsi="Times New Roman"/>
          <w:sz w:val="26"/>
          <w:szCs w:val="26"/>
        </w:rPr>
        <w:t>Yours sincerely,</w:t>
      </w:r>
    </w:p>
    <w:p>
      <w:pPr>
        <w:pStyle w:val="BodyText"/>
        <w:bidi w:val="0"/>
        <w:ind w:hanging="0" w:left="0" w:right="0"/>
        <w:jc w:val="left"/>
        <w:rPr>
          <w:rStyle w:val="Strong"/>
          <w:rFonts w:ascii="Times New Roman" w:hAnsi="Times New Roman"/>
          <w:sz w:val="26"/>
          <w:szCs w:val="26"/>
        </w:rPr>
      </w:pPr>
      <w:r>
        <w:rPr/>
      </w:r>
    </w:p>
    <w:p>
      <w:pPr>
        <w:pStyle w:val="BodyText"/>
        <w:bidi w:val="0"/>
        <w:spacing w:before="0" w:after="0"/>
        <w:ind w:hanging="0" w:left="0" w:right="0"/>
        <w:jc w:val="right"/>
        <w:rPr/>
      </w:pPr>
      <w:r>
        <w:rPr>
          <w:rStyle w:val="Strong"/>
          <w:rFonts w:ascii="Times New Roman" w:hAnsi="Times New Roman"/>
          <w:sz w:val="26"/>
          <w:szCs w:val="26"/>
        </w:rPr>
        <w:t>Sudeep Dutta</w:t>
      </w:r>
    </w:p>
    <w:p>
      <w:pPr>
        <w:pStyle w:val="BodyText"/>
        <w:bidi w:val="0"/>
        <w:spacing w:before="0" w:after="0"/>
        <w:ind w:hanging="0" w:left="0" w:right="0"/>
        <w:jc w:val="right"/>
        <w:rPr/>
      </w:pPr>
      <w:r>
        <w:rPr>
          <w:rStyle w:val="Strong"/>
          <w:rFonts w:ascii="Times New Roman" w:hAnsi="Times New Roman"/>
          <w:sz w:val="26"/>
          <w:szCs w:val="26"/>
        </w:rPr>
        <w:t xml:space="preserve">General Secretary, </w:t>
      </w:r>
      <w:r>
        <w:rPr>
          <w:rStyle w:val="Strong"/>
          <w:rFonts w:ascii="Times New Roman" w:hAnsi="Times New Roman"/>
          <w:sz w:val="26"/>
          <w:szCs w:val="26"/>
        </w:rPr>
        <w:t>EEFI.</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2">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72"/>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SC" w:cs="Lucida Sans"/>
        <w:kern w:val="2"/>
        <w:sz w:val="24"/>
        <w:szCs w:val="24"/>
        <w:lang w:val="en-I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SC" w:cs="Lucida Sans"/>
      <w:color w:val="auto"/>
      <w:kern w:val="2"/>
      <w:sz w:val="24"/>
      <w:szCs w:val="24"/>
      <w:lang w:val="en-IN" w:eastAsia="zh-CN" w:bidi="hi-IN"/>
    </w:rPr>
  </w:style>
  <w:style w:type="paragraph" w:styleId="Heading3">
    <w:name w:val="heading 3"/>
    <w:basedOn w:val="Heading"/>
    <w:next w:val="BodyText"/>
    <w:qFormat/>
    <w:pPr>
      <w:spacing w:before="140" w:after="120"/>
      <w:outlineLvl w:val="2"/>
    </w:pPr>
    <w:rPr>
      <w:rFonts w:ascii="Liberation Serif" w:hAnsi="Liberation Serif" w:eastAsia="Noto Serif SC" w:cs="Lucida Sans"/>
      <w:b/>
      <w:bCs/>
      <w:sz w:val="28"/>
      <w:szCs w:val="28"/>
    </w:rPr>
  </w:style>
  <w:style w:type="character" w:styleId="Strong">
    <w:name w:val="Strong"/>
    <w:qFormat/>
    <w:rPr>
      <w:b/>
      <w:bCs/>
    </w:rPr>
  </w:style>
  <w:style w:type="character" w:styleId="Hyperlink">
    <w:name w:val="Hyperlink"/>
    <w:rPr>
      <w:color w:val="000080"/>
      <w:u w:val="single"/>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secretary.herc@nic.in" TargetMode="External"/><Relationship Id="rId4" Type="http://schemas.openxmlformats.org/officeDocument/2006/relationships/hyperlink" Target="mailto:dir-trf.herc@nic.in"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TotalTime>
  <Application>LibreOffice/25.8.6.2$Windows_X86_64 LibreOffice_project/b4b39682cd9868fa725bc664aff94278d315bd04</Application>
  <AppVersion>15.0000</AppVersion>
  <Pages>4</Pages>
  <Words>1354</Words>
  <Characters>8485</Characters>
  <CharactersWithSpaces>9808</CharactersWithSpaces>
  <Paragraphs>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2026-06-13T14:24:53Z</dcterms:created>
  <dc:creator/>
  <dc:description/>
  <dc:language>en-IN</dc:language>
  <cp:lastModifiedBy/>
  <dcterms:modified xsi:type="dcterms:W3CDTF">2026-06-13T15:13:40Z</dcterms:modified>
  <cp:revision>1</cp:revision>
  <dc:subject/>
  <dc:title/>
</cp:coreProperties>
</file>